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ind w:left="2200" w:right="2200" w:firstLine="0" w:hanging="0"/>
        <w:spacing w:after="200"/>
      </w:pPr>
      <w:r>
        <w:rPr>
          <w:rFonts w:ascii="Times New Roman" w:hAnsi="Times New Roman" w:eastAsia="Times New Roman" w:cs="Times New Roman"/>
          <w:sz w:val="28"/>
          <w:szCs w:val="28"/>
          <w:b w:val="1"/>
          <w:bCs w:val="1"/>
        </w:rPr>
        <w:t xml:space="preserve">Нормы бесплатной выдачи СИЗ и смывающих средств работникам  АО «Управляющая компания «Наукоград» для закупки в ноябре 2026 г.</w:t>
      </w:r>
    </w:p>
    <w:tbl>
      <w:tblGrid>
        <w:gridCol w:w="400" w:type="dxa"/>
        <w:gridCol w:w="1600" w:type="dxa"/>
        <w:gridCol w:w="1400" w:type="dxa"/>
        <w:gridCol w:w="4000" w:type="dxa"/>
        <w:gridCol w:w="2400" w:type="dxa"/>
        <w:gridCol w:w="2600" w:type="dxa"/>
        <w:gridCol w:w="2200" w:type="dxa"/>
      </w:tblGrid>
      <w:tblPr>
        <w:jc w:val="center"/>
        <w:tblW w:w="0" w:type="auto"/>
        <w:tblLayout w:type="fixed"/>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blHeader w:val="1"/>
        </w:trPr>
        <w:tc>
          <w:tcPr>
            <w:tcW w:w="400" w:type="dxa"/>
            <w:vAlign w:val="center"/>
            <w:noWrap/>
          </w:tcPr>
          <w:p>
            <w:pPr>
              <w:jc w:val="center"/>
            </w:pPr>
            <w:r>
              <w:rPr>
                <w:rFonts w:ascii="Times New Roman" w:hAnsi="Times New Roman" w:eastAsia="Times New Roman" w:cs="Times New Roman"/>
                <w:sz w:val="20"/>
                <w:szCs w:val="20"/>
                <w:b w:val="1"/>
                <w:bCs w:val="1"/>
              </w:rPr>
              <w:t xml:space="preserve">№ п/п</w:t>
            </w:r>
          </w:p>
        </w:tc>
        <w:tc>
          <w:tcPr>
            <w:tcW w:w="1600" w:type="dxa"/>
            <w:vAlign w:val="center"/>
            <w:noWrap/>
          </w:tcPr>
          <w:p>
            <w:pPr>
              <w:jc w:val="center"/>
            </w:pPr>
            <w:r>
              <w:rPr>
                <w:rFonts w:ascii="Times New Roman" w:hAnsi="Times New Roman" w:eastAsia="Times New Roman" w:cs="Times New Roman"/>
                <w:sz w:val="20"/>
                <w:szCs w:val="20"/>
                <w:b w:val="1"/>
                <w:bCs w:val="1"/>
              </w:rPr>
              <w:t xml:space="preserve">Подразделение/Наименование профессии (должности)</w:t>
            </w:r>
          </w:p>
        </w:tc>
        <w:tc>
          <w:tcPr>
            <w:tcW w:w="1400" w:type="dxa"/>
            <w:vAlign w:val="center"/>
            <w:noWrap/>
          </w:tcPr>
          <w:p>
            <w:pPr>
              <w:jc w:val="center"/>
            </w:pPr>
            <w:r>
              <w:rPr>
                <w:rFonts w:ascii="Times New Roman" w:hAnsi="Times New Roman" w:eastAsia="Times New Roman" w:cs="Times New Roman"/>
                <w:sz w:val="20"/>
                <w:szCs w:val="20"/>
                <w:b w:val="1"/>
                <w:bCs w:val="1"/>
              </w:rPr>
              <w:t xml:space="preserve">Тип СИЗ</w:t>
            </w:r>
          </w:p>
        </w:tc>
        <w:tc>
          <w:tcPr>
            <w:tcW w:w="4000" w:type="dxa"/>
            <w:vAlign w:val="center"/>
            <w:noWrap/>
          </w:tcPr>
          <w:p>
            <w:pPr>
              <w:jc w:val="center"/>
            </w:pPr>
            <w:r>
              <w:rPr>
                <w:rFonts w:ascii="Times New Roman" w:hAnsi="Times New Roman" w:eastAsia="Times New Roman" w:cs="Times New Roman"/>
                <w:sz w:val="20"/>
                <w:szCs w:val="20"/>
                <w:b w:val="1"/>
                <w:bCs w:val="1"/>
              </w:rPr>
              <w:t xml:space="preserve">Наименование СИЗ (с указанием конкретных данных о конструкции, классе защиты, категориях эффективности и/или эксплуатационных уровнях)</w:t>
            </w:r>
          </w:p>
        </w:tc>
        <w:tc>
          <w:tcPr>
            <w:tcW w:w="2400" w:type="dxa"/>
            <w:vAlign w:val="center"/>
            <w:noWrap/>
          </w:tcPr>
          <w:p>
            <w:pPr>
              <w:jc w:val="center"/>
            </w:pPr>
            <w:r>
              <w:rPr>
                <w:rFonts w:ascii="Times New Roman" w:hAnsi="Times New Roman" w:eastAsia="Times New Roman" w:cs="Times New Roman"/>
                <w:sz w:val="20"/>
                <w:szCs w:val="20"/>
                <w:b w:val="1"/>
                <w:bCs w:val="1"/>
              </w:rPr>
              <w:t xml:space="preserve">Нормы выдачи с указанием периодичности выдачи, количества на период, единицы измерения (штуки, пары, комплекты, г, мл)</w:t>
            </w:r>
          </w:p>
        </w:tc>
        <w:tc>
          <w:tcPr>
            <w:tcW w:w="2600" w:type="dxa"/>
            <w:vAlign w:val="center"/>
            <w:noWrap/>
          </w:tcPr>
          <w:p>
            <w:pPr>
              <w:jc w:val="center"/>
            </w:pPr>
            <w:r>
              <w:rPr>
                <w:rFonts w:ascii="Times New Roman" w:hAnsi="Times New Roman" w:eastAsia="Times New Roman" w:cs="Times New Roman"/>
                <w:sz w:val="20"/>
                <w:szCs w:val="20"/>
                <w:b w:val="1"/>
                <w:bCs w:val="1"/>
              </w:rPr>
              <w:t xml:space="preserve">Основание выдачи СИЗ (пункты Единых типовых норм, правил по охране труда и иных документов)</w:t>
            </w:r>
          </w:p>
        </w:tc>
        <w:tc>
          <w:tcPr>
            <w:tcW w:w="2200" w:type="dxa"/>
            <w:vAlign w:val="center"/>
            <w:noWrap/>
          </w:tcPr>
          <w:p>
            <w:pPr>
              <w:jc w:val="center"/>
            </w:pPr>
            <w:r>
              <w:rPr>
                <w:rFonts w:ascii="Times New Roman" w:hAnsi="Times New Roman" w:eastAsia="Times New Roman" w:cs="Times New Roman"/>
                <w:sz w:val="20"/>
                <w:szCs w:val="20"/>
                <w:b w:val="1"/>
                <w:bCs w:val="1"/>
              </w:rPr>
              <w:t xml:space="preserve">Должность, ФИО работника</w:t>
            </w:r>
          </w:p>
        </w:tc>
      </w:tr>
      <w:tr>
        <w:trPr>
          <w:cantSplit w:val="1"/>
        </w:trPr>
        <w:tc>
          <w:tcPr>
            <w:tcW w:w="400" w:type="dxa"/>
            <w:vAlign w:val="center"/>
            <w:noWrap/>
          </w:tcPr>
          <w:p>
            <w:pPr>
              <w:jc w:val="center"/>
            </w:pPr>
            <w:r>
              <w:rPr>
                <w:rFonts w:ascii="Times New Roman" w:hAnsi="Times New Roman" w:eastAsia="Times New Roman" w:cs="Times New Roman"/>
                <w:sz w:val="20"/>
                <w:szCs w:val="20"/>
              </w:rPr>
              <w:t xml:space="preserve">1</w:t>
            </w:r>
          </w:p>
        </w:tc>
        <w:tc>
          <w:tcPr>
            <w:tcW w:w="1600" w:type="dxa"/>
            <w:vAlign w:val="center"/>
            <w:noWrap/>
          </w:tcPr>
          <w:p>
            <w:pPr>
              <w:jc w:val="center"/>
            </w:pPr>
            <w:r>
              <w:rPr>
                <w:rFonts w:ascii="Times New Roman" w:hAnsi="Times New Roman" w:eastAsia="Times New Roman" w:cs="Times New Roman"/>
                <w:sz w:val="20"/>
                <w:szCs w:val="20"/>
                <w:noProof w:val="1"/>
              </w:rPr>
              <w:t xml:space="preserve">Отдел главного энергетика</w:t>
            </w:r>
          </w:p>
          <w:p>
            <w:pPr>
              <w:jc w:val="center"/>
            </w:pPr>
            <w:r>
              <w:rPr>
                <w:rFonts w:ascii="Times New Roman" w:hAnsi="Times New Roman" w:eastAsia="Times New Roman" w:cs="Times New Roman"/>
                <w:sz w:val="20"/>
                <w:szCs w:val="20"/>
                <w:noProof w:val="1"/>
              </w:rPr>
              <w:t xml:space="preserve">Главный энергетик</w:t>
            </w:r>
          </w:p>
        </w:tc>
        <w:tc>
          <w:tcPr>
            <w:tcW w:w="1400" w:type="dxa"/>
            <w:vAlign w:val="center"/>
            <w:noWrap/>
          </w:tcPr>
          <w:p>
            <w:pPr>
              <w:jc w:val="center"/>
            </w:pPr>
            <w:r>
              <w:rPr>
                <w:rFonts w:ascii="Times New Roman" w:hAnsi="Times New Roman" w:eastAsia="Times New Roman" w:cs="Times New Roman"/>
                <w:sz w:val="20"/>
                <w:szCs w:val="20"/>
              </w:rPr>
              <w:t xml:space="preserve">—</w:t>
            </w:r>
          </w:p>
        </w:tc>
        <w:tc>
          <w:tcPr>
            <w:tcW w:w="4000" w:type="dxa"/>
            <w:vAlign w:val="center"/>
            <w:noWrap/>
          </w:tcPr>
          <w:p>
            <w:pPr>
              <w:jc w:val="start"/>
            </w:pPr>
            <w:r>
              <w:rPr>
                <w:rFonts w:ascii="Times New Roman" w:hAnsi="Times New Roman" w:eastAsia="Times New Roman" w:cs="Times New Roman"/>
                <w:sz w:val="20"/>
                <w:szCs w:val="20"/>
              </w:rPr>
              <w:t xml:space="preserve">Костюм (куртка, брюки, полукомбинезон) для защиты от термических рисков электрической дуги (класс защиты Эт3), для защиты от кратковременного воздействия открытого пламени класс защиты То2 от механических воздействий (проколов, порезов Ми, Мп.).</w:t>
            </w:r>
          </w:p>
        </w:tc>
        <w:tc>
          <w:tcPr>
            <w:tcW w:w="2400" w:type="dxa"/>
            <w:vAlign w:val="center"/>
            <w:noWrap/>
          </w:tcPr>
          <w:p>
            <w:pPr>
              <w:jc w:val="center"/>
            </w:pPr>
            <w:r>
              <w:rPr>
                <w:rFonts w:ascii="Times New Roman" w:hAnsi="Times New Roman" w:eastAsia="Times New Roman" w:cs="Times New Roman"/>
                <w:sz w:val="20"/>
                <w:szCs w:val="20"/>
              </w:rPr>
              <w:t xml:space="preserve">1 шт. на 2 года</w:t>
            </w:r>
          </w:p>
        </w:tc>
        <w:tc>
          <w:tcPr>
            <w:tcW w:w="2600" w:type="dxa"/>
            <w:vAlign w:val="center"/>
            <w:noWrap/>
          </w:tcPr>
          <w:p>
            <w:pPr>
              <w:jc w:val="center"/>
            </w:pPr>
            <w:r>
              <w:rPr>
                <w:rFonts w:ascii="Times New Roman" w:hAnsi="Times New Roman" w:eastAsia="Times New Roman" w:cs="Times New Roman"/>
                <w:sz w:val="20"/>
                <w:szCs w:val="20"/>
              </w:rPr>
              <w:t xml:space="preserve">п. 5294 Приложения №1 к ЕТН; п.1.17.1. п. 3.5.1 Приложения №2 к ЕТН</w:t>
            </w:r>
          </w:p>
        </w:tc>
        <w:tc>
          <w:tcPr>
            <w:tcW w:w="2200" w:type="dxa"/>
            <w:vAlign w:val="center"/>
            <w:noWrap/>
          </w:tcPr>
          <w:p>
            <w:pPr>
              <w:jc w:val="center"/>
            </w:pPr>
            <w:r>
              <w:rPr>
                <w:rFonts w:ascii="Times New Roman" w:hAnsi="Times New Roman" w:eastAsia="Times New Roman" w:cs="Times New Roman"/>
                <w:sz w:val="20"/>
                <w:szCs w:val="20"/>
                <w:noProof w:val="1"/>
              </w:rPr>
              <w:t xml:space="preserve">Главный энергетик</w:t>
            </w:r>
          </w:p>
          <w:p>
            <w:pPr>
              <w:jc w:val="center"/>
            </w:pPr>
            <w:r>
              <w:rPr>
                <w:rFonts w:ascii="Times New Roman" w:hAnsi="Times New Roman" w:eastAsia="Times New Roman" w:cs="Times New Roman"/>
                <w:sz w:val="20"/>
                <w:szCs w:val="20"/>
                <w:noProof w:val="1"/>
              </w:rPr>
              <w:t xml:space="preserve">Родимкин Игорь Сергеевич</w:t>
            </w:r>
          </w:p>
        </w:tc>
      </w:tr>
    </w:tbl>
    <w:p/>
    <w:p>
      <w:pPr>
        <w:jc w:val="center"/>
        <w:spacing w:before="200" w:after="200"/>
      </w:pPr>
      <w:r>
        <w:rPr>
          <w:rFonts w:ascii="Times New Roman" w:hAnsi="Times New Roman" w:eastAsia="Times New Roman" w:cs="Times New Roman"/>
          <w:sz w:val="28"/>
          <w:szCs w:val="28"/>
          <w:b w:val="1"/>
          <w:bCs w:val="1"/>
        </w:rPr>
        <w:t xml:space="preserve">Нормативное обоснование</w:t>
      </w:r>
    </w:p>
    <w:p>
      <w:pPr>
        <w:jc w:val="left"/>
        <w:spacing w:after="120"/>
        <w:numPr>
          <w:ilvl w:val="0"/>
          <w:numId w:val="1"/>
        </w:numPr>
      </w:pPr>
      <w:r>
        <w:rPr>
          <w:rFonts w:ascii="Times New Roman" w:hAnsi="Times New Roman" w:eastAsia="Times New Roman" w:cs="Times New Roman"/>
          <w:sz w:val="28"/>
          <w:szCs w:val="28"/>
          <w:b w:val="1"/>
          <w:bCs w:val="1"/>
        </w:rPr>
        <w:t xml:space="preserve">ТК РФ Статья 214</w:t>
      </w:r>
      <w:r>
        <w:rPr>
          <w:rFonts w:ascii="Times New Roman" w:hAnsi="Times New Roman" w:eastAsia="Times New Roman" w:cs="Times New Roman"/>
          <w:sz w:val="28"/>
          <w:szCs w:val="28"/>
        </w:rPr>
        <w:t xml:space="preserve">. </w:t>
      </w:r>
      <w:r>
        <w:rPr>
          <w:rFonts w:ascii="Times New Roman" w:hAnsi="Times New Roman" w:eastAsia="Times New Roman" w:cs="Times New Roman"/>
          <w:sz w:val="28"/>
          <w:szCs w:val="28"/>
        </w:rPr>
        <w:t xml:space="preserve">Обязанности работодателя в области охраны труда.</w:t>
      </w:r>
    </w:p>
    <w:p>
      <w:pPr>
        <w:jc w:val="left"/>
        <w:spacing w:after="120"/>
        <w:numPr>
          <w:ilvl w:val="0"/>
          <w:numId w:val="1"/>
        </w:numPr>
      </w:pPr>
      <w:r>
        <w:rPr>
          <w:rFonts w:ascii="Times New Roman" w:hAnsi="Times New Roman" w:eastAsia="Times New Roman" w:cs="Times New Roman"/>
          <w:sz w:val="28"/>
          <w:szCs w:val="28"/>
          <w:b w:val="1"/>
          <w:bCs w:val="1"/>
        </w:rPr>
        <w:t xml:space="preserve">ТК РФ Статья 221</w:t>
      </w:r>
      <w:r>
        <w:rPr>
          <w:rFonts w:ascii="Times New Roman" w:hAnsi="Times New Roman" w:eastAsia="Times New Roman" w:cs="Times New Roman"/>
          <w:sz w:val="28"/>
          <w:szCs w:val="28"/>
        </w:rPr>
        <w:t xml:space="preserve">. </w:t>
      </w:r>
      <w:r>
        <w:rPr>
          <w:rFonts w:ascii="Times New Roman" w:hAnsi="Times New Roman" w:eastAsia="Times New Roman" w:cs="Times New Roman"/>
          <w:sz w:val="28"/>
          <w:szCs w:val="28"/>
        </w:rPr>
        <w:t xml:space="preserve">Обеспечение работников средствами индивидуальной защиты.</w:t>
      </w:r>
    </w:p>
    <w:p>
      <w:pPr>
        <w:jc w:val="left"/>
        <w:spacing w:after="120"/>
        <w:numPr>
          <w:ilvl w:val="0"/>
          <w:numId w:val="1"/>
        </w:numPr>
      </w:pPr>
      <w:r>
        <w:rPr>
          <w:rFonts w:ascii="Times New Roman" w:hAnsi="Times New Roman" w:eastAsia="Times New Roman" w:cs="Times New Roman"/>
          <w:sz w:val="28"/>
          <w:szCs w:val="28"/>
        </w:rPr>
        <w:t xml:space="preserve">ПРИКАЗ МИНИСТЕРСТВА ТРУДА И СОЦИАЛЬНОЙ ЗАЩИТЫ РОССИЙСКОЙ ФЕДЕРАЦИИ от 29 октября 2021 г. N </w:t>
      </w:r>
      <w:r>
        <w:rPr>
          <w:rFonts w:ascii="Times New Roman" w:hAnsi="Times New Roman" w:eastAsia="Times New Roman" w:cs="Times New Roman"/>
          <w:sz w:val="28"/>
          <w:szCs w:val="28"/>
          <w:b w:val="1"/>
          <w:bCs w:val="1"/>
        </w:rPr>
        <w:t xml:space="preserve">767н </w:t>
      </w:r>
      <w:r>
        <w:rPr>
          <w:rFonts w:ascii="Times New Roman" w:hAnsi="Times New Roman" w:eastAsia="Times New Roman" w:cs="Times New Roman"/>
          <w:sz w:val="28"/>
          <w:szCs w:val="28"/>
        </w:rPr>
        <w:t xml:space="preserve">ОБ УТВЕРЖДЕНИИ ЕДИНЫХ ТИПОВЫХ НОРМ ВЫДАЧИ СРЕДСТВ ИНДИВИДУАЛЬНОЙ ЗАЩИТЫ И СМЫВАЮЩИХ СРЕДСТВ.</w:t>
      </w:r>
    </w:p>
    <w:p>
      <w:pPr>
        <w:jc w:val="left"/>
        <w:spacing w:after="120"/>
        <w:numPr>
          <w:ilvl w:val="0"/>
          <w:numId w:val="1"/>
        </w:numPr>
      </w:pPr>
      <w:r>
        <w:rPr>
          <w:rFonts w:ascii="Times New Roman" w:hAnsi="Times New Roman" w:eastAsia="Times New Roman" w:cs="Times New Roman"/>
          <w:sz w:val="28"/>
          <w:szCs w:val="28"/>
        </w:rPr>
        <w:t xml:space="preserve">ПРИКАЗ МИНИСТЕРСТВА ТРУДА И СОЦИАЛЬНОЙ ЗАЩИТЫ РОССИЙСКОЙ ФЕДЕРАЦИИ от 29 октября 2021 г. N </w:t>
      </w:r>
      <w:r>
        <w:rPr>
          <w:rFonts w:ascii="Times New Roman" w:hAnsi="Times New Roman" w:eastAsia="Times New Roman" w:cs="Times New Roman"/>
          <w:sz w:val="28"/>
          <w:szCs w:val="28"/>
          <w:b w:val="1"/>
          <w:bCs w:val="1"/>
        </w:rPr>
        <w:t xml:space="preserve">766н </w:t>
      </w:r>
      <w:r>
        <w:rPr>
          <w:rFonts w:ascii="Times New Roman" w:hAnsi="Times New Roman" w:eastAsia="Times New Roman" w:cs="Times New Roman"/>
          <w:sz w:val="28"/>
          <w:szCs w:val="28"/>
        </w:rPr>
        <w:t xml:space="preserve">ОБ УТВЕРЖДЕНИИ ПРАВИЛ ОБЕСПЕЧЕНИЯ РАБОТНИКОВ СРЕДСТВАМИ ИНДИВИДУАЛЬНОЙ ЗАЩИТЫ И СМЫВАЮЩИМИ СРЕДСТВАМИ.</w:t>
      </w:r>
    </w:p>
    <w:sectPr>
      <w:pgSz w:orient="landscape" w:w="16837.79527559055" w:h="11905.511811023622"/>
      <w:pgMar w:top="720" w:right="720" w:bottom="720" w:left="72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BF9F48E"/>
    <w:multiLevelType w:val="multilevel"/>
    <w:lvl w:ilvl="0">
      <w:start w:val="1"/>
      <w:numFmt w:val="decimal"/>
      <w:suff w:val="tab"/>
      <w:lvlText w:val="%1."/>
      <w:pPr>
        <w:tabs>
          <w:tab w:val="num"/>
        </w:tabs>
        <w:ind w:left="360"/>
      </w:pPr>
      <w:rPr>
        <w:rFonts w:ascii="Times New Roman" w:hAnsi="Times New Roman" w:cs="Times New Roman"/>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autoHyphenation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Arial" w:cs="Times New Roman"/>
        <w:color w:val="000000"/>
        <w:sz w:val="28"/>
        <w:szCs w:val="28"/>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2026-10-13T07:37:54+00:00</dcterms:created>
  <dcterms:modified xsi:type="dcterms:W3CDTF">2026-10-13T07:37:54+00:00</dcterms:modified>
</cp:coreProperties>
</file>

<file path=docProps/custom.xml><?xml version="1.0" encoding="utf-8"?>
<Properties xmlns="http://schemas.openxmlformats.org/officeDocument/2006/custom-properties" xmlns:vt="http://schemas.openxmlformats.org/officeDocument/2006/docPropsVTypes"/>
</file>